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59" w:rsidRPr="00925759" w:rsidRDefault="00925759" w:rsidP="00925759">
      <w:pPr>
        <w:pStyle w:val="NormalWeb"/>
        <w:rPr>
          <w:b/>
          <w:color w:val="000000"/>
          <w:sz w:val="21"/>
          <w:szCs w:val="21"/>
        </w:rPr>
      </w:pPr>
      <w:r w:rsidRPr="00925759">
        <w:rPr>
          <w:b/>
          <w:color w:val="000000"/>
          <w:sz w:val="21"/>
          <w:szCs w:val="21"/>
        </w:rPr>
        <w:t>New User Flow Cytometry</w:t>
      </w:r>
    </w:p>
    <w:p w:rsidR="00925759" w:rsidRDefault="00925759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Our core facil</w:t>
      </w:r>
      <w:r w:rsidR="009B7D2D">
        <w:rPr>
          <w:color w:val="000000"/>
          <w:sz w:val="21"/>
          <w:szCs w:val="21"/>
        </w:rPr>
        <w:t>ity has several</w:t>
      </w:r>
      <w:r>
        <w:rPr>
          <w:color w:val="000000"/>
          <w:sz w:val="21"/>
          <w:szCs w:val="21"/>
        </w:rPr>
        <w:t xml:space="preserve"> instruments: two Beckman Coulter </w:t>
      </w:r>
      <w:proofErr w:type="spellStart"/>
      <w:r>
        <w:rPr>
          <w:color w:val="000000"/>
          <w:sz w:val="21"/>
          <w:szCs w:val="21"/>
        </w:rPr>
        <w:t>Gallios</w:t>
      </w:r>
      <w:proofErr w:type="spellEnd"/>
      <w:r>
        <w:rPr>
          <w:color w:val="000000"/>
          <w:sz w:val="21"/>
          <w:szCs w:val="21"/>
        </w:rPr>
        <w:t xml:space="preserve"> analysis flow cytometers; a Beckman Coulter </w:t>
      </w:r>
      <w:proofErr w:type="spellStart"/>
      <w:r>
        <w:rPr>
          <w:color w:val="000000"/>
          <w:sz w:val="21"/>
          <w:szCs w:val="21"/>
        </w:rPr>
        <w:t>Astrios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MoFlo</w:t>
      </w:r>
      <w:proofErr w:type="spellEnd"/>
      <w:r>
        <w:rPr>
          <w:color w:val="000000"/>
          <w:sz w:val="21"/>
          <w:szCs w:val="21"/>
        </w:rPr>
        <w:t xml:space="preserve"> cell sorter;</w:t>
      </w:r>
      <w:r w:rsidR="009B7D2D">
        <w:rPr>
          <w:color w:val="000000"/>
          <w:sz w:val="21"/>
          <w:szCs w:val="21"/>
        </w:rPr>
        <w:t xml:space="preserve"> Sony MA900 cell sorter (users can be trained to perform their own sorts);</w:t>
      </w:r>
      <w:r>
        <w:rPr>
          <w:color w:val="000000"/>
          <w:sz w:val="21"/>
          <w:szCs w:val="21"/>
        </w:rPr>
        <w:t xml:space="preserve"> a BD </w:t>
      </w:r>
      <w:proofErr w:type="spellStart"/>
      <w:r>
        <w:rPr>
          <w:color w:val="000000"/>
          <w:sz w:val="21"/>
          <w:szCs w:val="21"/>
        </w:rPr>
        <w:t>Fortessa</w:t>
      </w:r>
      <w:proofErr w:type="spellEnd"/>
      <w:r>
        <w:rPr>
          <w:color w:val="000000"/>
          <w:sz w:val="21"/>
          <w:szCs w:val="21"/>
        </w:rPr>
        <w:t xml:space="preserve"> X-20 analysis flow </w:t>
      </w:r>
      <w:r w:rsidR="009B7D2D">
        <w:rPr>
          <w:color w:val="000000"/>
          <w:sz w:val="21"/>
          <w:szCs w:val="21"/>
        </w:rPr>
        <w:t>cytometer with HTS plate loader; Attune NXT with HTS plate loader</w:t>
      </w:r>
      <w:r>
        <w:rPr>
          <w:color w:val="000000"/>
          <w:sz w:val="21"/>
          <w:szCs w:val="21"/>
        </w:rPr>
        <w:t xml:space="preserve"> and an </w:t>
      </w:r>
      <w:proofErr w:type="spellStart"/>
      <w:r>
        <w:rPr>
          <w:color w:val="000000"/>
          <w:sz w:val="21"/>
          <w:szCs w:val="21"/>
        </w:rPr>
        <w:t>Amnis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ImageStreamX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MarkII</w:t>
      </w:r>
      <w:proofErr w:type="spellEnd"/>
      <w:r w:rsidR="009B7D2D">
        <w:rPr>
          <w:color w:val="000000"/>
          <w:sz w:val="21"/>
          <w:szCs w:val="21"/>
        </w:rPr>
        <w:t xml:space="preserve"> (newly upgraded for 2022)</w:t>
      </w:r>
      <w:r>
        <w:rPr>
          <w:color w:val="000000"/>
          <w:sz w:val="21"/>
          <w:szCs w:val="21"/>
        </w:rPr>
        <w:t>; and computer workstations with various data analysis software. You can read more about these instruments and other facility details at our website: </w:t>
      </w:r>
      <w:hyperlink r:id="rId4" w:tgtFrame="_blank" w:history="1">
        <w:r>
          <w:rPr>
            <w:rStyle w:val="Hyperlink"/>
            <w:color w:val="800080"/>
            <w:sz w:val="21"/>
            <w:szCs w:val="21"/>
          </w:rPr>
          <w:t>http://flowcytometry.lunenfeld.ca</w:t>
        </w:r>
      </w:hyperlink>
    </w:p>
    <w:p w:rsidR="00925759" w:rsidRDefault="00925759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 </w:t>
      </w:r>
    </w:p>
    <w:p w:rsidR="00925759" w:rsidRDefault="00925759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 xml:space="preserve">Rates are $85/hr for cell sorting and the </w:t>
      </w:r>
      <w:proofErr w:type="spellStart"/>
      <w:r>
        <w:rPr>
          <w:color w:val="000000"/>
          <w:sz w:val="21"/>
          <w:szCs w:val="21"/>
        </w:rPr>
        <w:t>ImageStream</w:t>
      </w:r>
      <w:proofErr w:type="spellEnd"/>
      <w:r>
        <w:rPr>
          <w:color w:val="000000"/>
          <w:sz w:val="21"/>
          <w:szCs w:val="21"/>
        </w:rPr>
        <w:t>, $75/hr for assisted analysis services and $40/hr for unassi</w:t>
      </w:r>
      <w:r w:rsidR="008C253B">
        <w:rPr>
          <w:color w:val="000000"/>
          <w:sz w:val="21"/>
          <w:szCs w:val="21"/>
        </w:rPr>
        <w:t xml:space="preserve">sted </w:t>
      </w:r>
      <w:proofErr w:type="spellStart"/>
      <w:r w:rsidR="008C253B">
        <w:rPr>
          <w:color w:val="000000"/>
          <w:sz w:val="21"/>
          <w:szCs w:val="21"/>
        </w:rPr>
        <w:t>Gallios</w:t>
      </w:r>
      <w:proofErr w:type="spellEnd"/>
      <w:r w:rsidR="008C253B">
        <w:rPr>
          <w:color w:val="000000"/>
          <w:sz w:val="21"/>
          <w:szCs w:val="21"/>
        </w:rPr>
        <w:t xml:space="preserve"> use. For more details </w:t>
      </w:r>
      <w:r>
        <w:rPr>
          <w:color w:val="000000"/>
          <w:sz w:val="21"/>
          <w:szCs w:val="21"/>
        </w:rPr>
        <w:t>see: </w:t>
      </w:r>
      <w:hyperlink r:id="rId5" w:tgtFrame="_blank" w:history="1">
        <w:r>
          <w:rPr>
            <w:rStyle w:val="Hyperlink"/>
            <w:color w:val="800080"/>
            <w:sz w:val="21"/>
            <w:szCs w:val="21"/>
          </w:rPr>
          <w:t>http://flowcytometry.lunenfeld.ca/?page=Rates%20and%20Services</w:t>
        </w:r>
      </w:hyperlink>
    </w:p>
    <w:p w:rsidR="00925759" w:rsidRDefault="00925759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1"/>
          <w:szCs w:val="21"/>
        </w:rPr>
        <w:t>To get started as a new flow cytometry user, please complete these steps:</w:t>
      </w:r>
    </w:p>
    <w:p w:rsidR="00925759" w:rsidRDefault="00925759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1. </w:t>
      </w:r>
      <w:r>
        <w:rPr>
          <w:b/>
          <w:bCs/>
          <w:color w:val="000000"/>
          <w:sz w:val="21"/>
          <w:szCs w:val="21"/>
        </w:rPr>
        <w:t>User registration form.</w:t>
      </w:r>
      <w:r>
        <w:rPr>
          <w:color w:val="000000"/>
          <w:sz w:val="21"/>
          <w:szCs w:val="21"/>
        </w:rPr>
        <w:t> Download and complete the form with all signatures and submit it to </w:t>
      </w:r>
      <w:hyperlink r:id="rId6" w:tgtFrame="_blank" w:history="1">
        <w:r>
          <w:rPr>
            <w:rStyle w:val="Hyperlink"/>
            <w:color w:val="800080"/>
            <w:sz w:val="21"/>
            <w:szCs w:val="21"/>
          </w:rPr>
          <w:t>parsons@lunenfeld.ca</w:t>
        </w:r>
      </w:hyperlink>
      <w:r>
        <w:rPr>
          <w:color w:val="000000"/>
          <w:sz w:val="21"/>
          <w:szCs w:val="21"/>
        </w:rPr>
        <w:t> and </w:t>
      </w:r>
      <w:hyperlink r:id="rId7" w:tgtFrame="_blank" w:history="1">
        <w:r>
          <w:rPr>
            <w:rStyle w:val="Hyperlink"/>
            <w:color w:val="800080"/>
            <w:sz w:val="21"/>
            <w:szCs w:val="21"/>
          </w:rPr>
          <w:t>bang@lunenfeld.ca</w:t>
        </w:r>
      </w:hyperlink>
      <w:r>
        <w:rPr>
          <w:color w:val="000000"/>
          <w:sz w:val="21"/>
          <w:szCs w:val="21"/>
        </w:rPr>
        <w:t>:</w:t>
      </w:r>
    </w:p>
    <w:p w:rsidR="00925759" w:rsidRDefault="00767477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="00925759">
          <w:rPr>
            <w:rStyle w:val="Hyperlink"/>
            <w:color w:val="800080"/>
            <w:sz w:val="21"/>
            <w:szCs w:val="21"/>
          </w:rPr>
          <w:t>http://flowcytometry.lunenfeld.ca/files/file/flow%20core%20registration%20form%20261110.pdf</w:t>
        </w:r>
      </w:hyperlink>
    </w:p>
    <w:p w:rsidR="00925759" w:rsidRDefault="00925759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 </w:t>
      </w:r>
    </w:p>
    <w:p w:rsidR="00925759" w:rsidRDefault="00925759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2. </w:t>
      </w:r>
      <w:r>
        <w:rPr>
          <w:b/>
          <w:bCs/>
          <w:color w:val="000000"/>
          <w:sz w:val="21"/>
          <w:szCs w:val="21"/>
        </w:rPr>
        <w:t>LTRI Shared Resource Scheduler.</w:t>
      </w:r>
      <w:r>
        <w:rPr>
          <w:color w:val="000000"/>
          <w:sz w:val="21"/>
          <w:szCs w:val="21"/>
        </w:rPr>
        <w:t> We have an online interactive calendar. Once your user registration has been received you will be assigned a login username and password, then you can make your own bookings on the</w:t>
      </w:r>
      <w:r w:rsidR="009B7D2D">
        <w:rPr>
          <w:color w:val="000000"/>
          <w:sz w:val="21"/>
          <w:szCs w:val="21"/>
        </w:rPr>
        <w:t xml:space="preserve"> various instruments, depending</w:t>
      </w:r>
      <w:r>
        <w:rPr>
          <w:color w:val="000000"/>
          <w:sz w:val="21"/>
          <w:szCs w:val="21"/>
        </w:rPr>
        <w:t xml:space="preserve"> on your level of training.</w:t>
      </w:r>
    </w:p>
    <w:p w:rsidR="00925759" w:rsidRDefault="00925759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 </w:t>
      </w:r>
    </w:p>
    <w:p w:rsidR="003B735B" w:rsidRDefault="00925759" w:rsidP="00925759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</w:t>
      </w:r>
      <w:r w:rsidR="00767477">
        <w:rPr>
          <w:color w:val="000000"/>
          <w:sz w:val="21"/>
          <w:szCs w:val="21"/>
        </w:rPr>
        <w:t xml:space="preserve"> Prior to Scheduling flow theory session with Michael</w:t>
      </w:r>
      <w:r>
        <w:rPr>
          <w:color w:val="000000"/>
          <w:sz w:val="21"/>
          <w:szCs w:val="21"/>
        </w:rPr>
        <w:t> </w:t>
      </w:r>
      <w:r w:rsidR="00767477">
        <w:rPr>
          <w:color w:val="000000"/>
          <w:sz w:val="21"/>
          <w:szCs w:val="21"/>
        </w:rPr>
        <w:t xml:space="preserve">it would be useful to view an introductory flow cytometry video </w:t>
      </w:r>
      <w:r w:rsidR="003B735B">
        <w:rPr>
          <w:color w:val="000000"/>
          <w:sz w:val="21"/>
          <w:szCs w:val="21"/>
        </w:rPr>
        <w:t>&lt;</w:t>
      </w:r>
      <w:r w:rsidR="003B735B" w:rsidRPr="003B735B">
        <w:rPr>
          <w:color w:val="000000"/>
          <w:sz w:val="21"/>
          <w:szCs w:val="21"/>
        </w:rPr>
        <w:t>https://www.youtube.com/watch?v=sfWWxFBltpQ</w:t>
      </w:r>
      <w:r w:rsidR="003B735B">
        <w:rPr>
          <w:color w:val="000000"/>
          <w:sz w:val="21"/>
          <w:szCs w:val="21"/>
        </w:rPr>
        <w:t>&gt;</w:t>
      </w:r>
    </w:p>
    <w:p w:rsidR="00925759" w:rsidRDefault="003B735B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 xml:space="preserve">For more </w:t>
      </w:r>
      <w:r w:rsidR="00925759">
        <w:rPr>
          <w:color w:val="000000"/>
          <w:sz w:val="21"/>
          <w:szCs w:val="21"/>
        </w:rPr>
        <w:t xml:space="preserve">flow cytometry theory, I'd recommend some videos on this </w:t>
      </w:r>
      <w:proofErr w:type="spellStart"/>
      <w:r w:rsidR="00925759">
        <w:rPr>
          <w:color w:val="000000"/>
          <w:sz w:val="21"/>
          <w:szCs w:val="21"/>
        </w:rPr>
        <w:t>Thermo</w:t>
      </w:r>
      <w:proofErr w:type="spellEnd"/>
      <w:r w:rsidR="00925759">
        <w:rPr>
          <w:color w:val="000000"/>
          <w:sz w:val="21"/>
          <w:szCs w:val="21"/>
        </w:rPr>
        <w:t xml:space="preserve"> website:</w:t>
      </w:r>
    </w:p>
    <w:p w:rsidR="00925759" w:rsidRDefault="00767477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925759">
          <w:rPr>
            <w:rStyle w:val="Hyperlink"/>
            <w:sz w:val="21"/>
            <w:szCs w:val="21"/>
          </w:rPr>
          <w:t>https://www.thermofisher.com/ca/en/home/life-science/cell-analysis/flow-cytometry/flow-cytometry-learning-center/flow-cytometry-resource-library/flow-cytometry-educational-videos-webinars.html</w:t>
        </w:r>
      </w:hyperlink>
    </w:p>
    <w:p w:rsidR="00925759" w:rsidRDefault="00925759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925759" w:rsidRDefault="00925759" w:rsidP="0092575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Type in "tutorial video" in the "Search all videos" field. Watch the 5 videos in this order:</w:t>
      </w:r>
    </w:p>
    <w:p w:rsidR="00925759" w:rsidRDefault="00925759" w:rsidP="0092575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Introduction to Fluorescence</w:t>
      </w:r>
    </w:p>
    <w:p w:rsidR="00925759" w:rsidRDefault="00925759" w:rsidP="0092575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Anatomy of Fluorescence Spectra</w:t>
      </w:r>
    </w:p>
    <w:p w:rsidR="00925759" w:rsidRDefault="00925759" w:rsidP="0092575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Overview of Filters and Light Sources</w:t>
      </w:r>
    </w:p>
    <w:p w:rsidR="00925759" w:rsidRDefault="00925759" w:rsidP="0092575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Introduction to Flow Cytometry</w:t>
      </w:r>
    </w:p>
    <w:p w:rsidR="00925759" w:rsidRDefault="00925759" w:rsidP="0092575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Analyzing Flow Cytometry Data</w:t>
      </w:r>
    </w:p>
    <w:p w:rsidR="00925759" w:rsidRDefault="00925759" w:rsidP="00925759">
      <w:pPr>
        <w:rPr>
          <w:rFonts w:ascii="Calibri" w:hAnsi="Calibri" w:cs="Calibri"/>
          <w:color w:val="000000"/>
        </w:rPr>
      </w:pPr>
    </w:p>
    <w:p w:rsidR="00925759" w:rsidRDefault="00925759" w:rsidP="0092575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You can also se</w:t>
      </w:r>
      <w:r w:rsidR="00767477">
        <w:rPr>
          <w:rFonts w:ascii="Calibri" w:hAnsi="Calibri" w:cs="Calibri"/>
          <w:color w:val="000000"/>
          <w:u w:val="single"/>
        </w:rPr>
        <w:t>ar</w:t>
      </w:r>
      <w:r>
        <w:rPr>
          <w:rFonts w:ascii="Calibri" w:hAnsi="Calibri" w:cs="Calibri"/>
          <w:color w:val="000000"/>
          <w:u w:val="single"/>
        </w:rPr>
        <w:t>ch for these two longer webinars in the same resource list:</w:t>
      </w:r>
    </w:p>
    <w:p w:rsidR="00925759" w:rsidRDefault="00925759" w:rsidP="0092575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Basics of Flow Cytometry, Part I: Gating and data analysis</w:t>
      </w:r>
    </w:p>
    <w:p w:rsidR="00925759" w:rsidRDefault="00925759" w:rsidP="0092575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Basics of Flow Cytometry, Part II: Compensation </w:t>
      </w:r>
    </w:p>
    <w:p w:rsidR="00925759" w:rsidRDefault="00925759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925759" w:rsidRDefault="00925759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There are actually many very good videos on various topics in flow cytometry, from general to application specific. Just hours of good information!</w:t>
      </w:r>
      <w:r w:rsidR="00767477">
        <w:rPr>
          <w:color w:val="000000"/>
          <w:sz w:val="21"/>
          <w:szCs w:val="21"/>
        </w:rPr>
        <w:t xml:space="preserve"> Our web site also has lots of useful links and information under resources and training.&lt;flowcytometry.lunenfeld.ca&gt;</w:t>
      </w:r>
      <w:bookmarkStart w:id="0" w:name="_GoBack"/>
      <w:bookmarkEnd w:id="0"/>
    </w:p>
    <w:p w:rsidR="00925759" w:rsidRDefault="00925759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  <w:u w:val="single"/>
        </w:rPr>
        <w:t xml:space="preserve">If you prefer written material over video, here's a good place to start: </w:t>
      </w:r>
    </w:p>
    <w:p w:rsidR="00925759" w:rsidRDefault="00767477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925759">
          <w:rPr>
            <w:rStyle w:val="Hyperlink"/>
            <w:sz w:val="21"/>
            <w:szCs w:val="21"/>
          </w:rPr>
          <w:t>https://www.thermofisher.com/ca/en/home/life-science/cell-analysis/cell-analysis-learning-center/molecular-probes-school-of-fluorescence/flow-cytometry-basics.html</w:t>
        </w:r>
      </w:hyperlink>
    </w:p>
    <w:p w:rsidR="00925759" w:rsidRDefault="00925759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4. </w:t>
      </w:r>
      <w:r>
        <w:rPr>
          <w:b/>
          <w:bCs/>
          <w:color w:val="000000"/>
          <w:sz w:val="21"/>
          <w:szCs w:val="21"/>
        </w:rPr>
        <w:t>Instrument Configurations.</w:t>
      </w:r>
      <w:r>
        <w:rPr>
          <w:color w:val="000000"/>
          <w:sz w:val="21"/>
          <w:szCs w:val="21"/>
        </w:rPr>
        <w:t xml:space="preserve"> Want to know what kind of fluorophores you can use on the instruments? The </w:t>
      </w:r>
      <w:proofErr w:type="spellStart"/>
      <w:r>
        <w:rPr>
          <w:color w:val="000000"/>
          <w:sz w:val="21"/>
          <w:szCs w:val="21"/>
        </w:rPr>
        <w:t>Gallios</w:t>
      </w:r>
      <w:proofErr w:type="spellEnd"/>
      <w:r>
        <w:rPr>
          <w:color w:val="000000"/>
          <w:sz w:val="21"/>
          <w:szCs w:val="21"/>
        </w:rPr>
        <w:t xml:space="preserve"> configuration and example fluorophores are attached here. Find out the details about the other instrument configurations: </w:t>
      </w:r>
      <w:hyperlink r:id="rId11" w:tgtFrame="_blank" w:history="1">
        <w:r>
          <w:rPr>
            <w:rStyle w:val="Hyperlink"/>
            <w:color w:val="800080"/>
            <w:sz w:val="21"/>
            <w:szCs w:val="21"/>
          </w:rPr>
          <w:t>http://flowcytometry.lunenfeld.ca/?page=Instruments</w:t>
        </w:r>
      </w:hyperlink>
    </w:p>
    <w:p w:rsidR="00925759" w:rsidRDefault="00925759" w:rsidP="0092575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5. </w:t>
      </w:r>
      <w:r>
        <w:rPr>
          <w:b/>
          <w:bCs/>
          <w:color w:val="000000"/>
          <w:sz w:val="21"/>
          <w:szCs w:val="21"/>
        </w:rPr>
        <w:t>General lab biosafety.</w:t>
      </w:r>
      <w:r>
        <w:rPr>
          <w:color w:val="000000"/>
          <w:sz w:val="21"/>
          <w:szCs w:val="21"/>
        </w:rPr>
        <w:t> Please read </w:t>
      </w:r>
      <w:hyperlink r:id="rId12" w:tgtFrame="_blank" w:history="1">
        <w:r>
          <w:rPr>
            <w:rStyle w:val="Hyperlink"/>
            <w:color w:val="800080"/>
            <w:sz w:val="21"/>
            <w:szCs w:val="21"/>
          </w:rPr>
          <w:t>http://flowcytometry.lunenfeld.ca/DEFAULT.ASP?page=Biosafety</w:t>
        </w:r>
      </w:hyperlink>
    </w:p>
    <w:p w:rsidR="00FF3625" w:rsidRDefault="00FF3625"/>
    <w:sectPr w:rsidR="00FF3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59"/>
    <w:rsid w:val="003B735B"/>
    <w:rsid w:val="00767477"/>
    <w:rsid w:val="008C253B"/>
    <w:rsid w:val="00925759"/>
    <w:rsid w:val="009B7D2D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6044"/>
  <w15:chartTrackingRefBased/>
  <w15:docId w15:val="{F801642B-46A6-4C6F-9867-28706043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59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7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5759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wcytometry.lunenfeld.ca/files/file/flow%20core%20registration%20form%20261110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ng@lunenfeld.ca" TargetMode="External"/><Relationship Id="rId12" Type="http://schemas.openxmlformats.org/officeDocument/2006/relationships/hyperlink" Target="http://flowcytometry.lunenfeld.ca/DEFAULT.ASP?page=Biosafe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sons@lunenfeld.ca" TargetMode="External"/><Relationship Id="rId11" Type="http://schemas.openxmlformats.org/officeDocument/2006/relationships/hyperlink" Target="http://flowcytometry.lunenfeld.ca/?page=Instruments" TargetMode="External"/><Relationship Id="rId5" Type="http://schemas.openxmlformats.org/officeDocument/2006/relationships/hyperlink" Target="http://flowcytometry.lunenfeld.ca/?page=Rates%20and%20Services" TargetMode="External"/><Relationship Id="rId10" Type="http://schemas.openxmlformats.org/officeDocument/2006/relationships/hyperlink" Target="https://www.thermofisher.com/ca/en/home/life-science/cell-analysis/cell-analysis-learning-center/molecular-probes-school-of-fluorescence/flow-cytometry-basics.html" TargetMode="External"/><Relationship Id="rId4" Type="http://schemas.openxmlformats.org/officeDocument/2006/relationships/hyperlink" Target="http://flowcytometry.lunenfeld.ca/" TargetMode="External"/><Relationship Id="rId9" Type="http://schemas.openxmlformats.org/officeDocument/2006/relationships/hyperlink" Target="https://www.thermofisher.com/ca/en/home/life-science/cell-analysis/flow-cytometry/flow-cytometry-learning-center/flow-cytometry-resource-library/flow-cytometry-educational-videos-webinar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Parsons</dc:creator>
  <cp:keywords/>
  <dc:description/>
  <cp:lastModifiedBy>Michael Parsons</cp:lastModifiedBy>
  <cp:revision>5</cp:revision>
  <dcterms:created xsi:type="dcterms:W3CDTF">2022-05-30T14:55:00Z</dcterms:created>
  <dcterms:modified xsi:type="dcterms:W3CDTF">2022-09-02T13:32:00Z</dcterms:modified>
</cp:coreProperties>
</file>